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Паспорт социокультурной практики, обеспечивающей доступность участия граждан с инвалидностью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Разделы паспорта: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1. Субъект РФ (субъекты РФ) и населенный пункт, на территории которых проводятся мероприятия проекта: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Кемеровская область, </w:t>
      </w:r>
      <w:proofErr w:type="spellStart"/>
      <w:r>
        <w:rPr>
          <w:color w:val="000000"/>
        </w:rPr>
        <w:t>Осинниковский</w:t>
      </w:r>
      <w:proofErr w:type="spellEnd"/>
      <w:r>
        <w:rPr>
          <w:color w:val="000000"/>
        </w:rPr>
        <w:t xml:space="preserve"> городской округ;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2. Полное наименование учреждения, реализующего мероприятие: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Муниципальное автономное учреждение культуры </w:t>
      </w:r>
      <w:bookmarkStart w:id="0" w:name="_GoBack"/>
      <w:r>
        <w:rPr>
          <w:color w:val="000000"/>
        </w:rPr>
        <w:t xml:space="preserve">Дворец культуры «Шахтер» </w:t>
      </w:r>
      <w:bookmarkEnd w:id="0"/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3. Вид организации отрасли культуры, реализующей мероприятие* 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организация):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Культурно-досуговое учреждение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4. Категория инвалидов, участвующих в мероприятии: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Лица с нарушением зрения; лица с нарушением слуха; лица с нарушением функций опорно-двигательного аппарата;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5. Целевая аудитория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Инвалиды, дети до 18 лет, лица трудоспособного возраста, пожилые люди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6. Формат мероприятия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Театрализованные представления, концерты, выездные программы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7. Год (годы) проведения мероприятия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2018, 2019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8. Количество участников мероприятия (со зрителями), включая лиц с инвалидностью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</w:rPr>
        <w:t>тифлокомментарий</w:t>
      </w:r>
      <w:proofErr w:type="spellEnd"/>
      <w:r>
        <w:rPr>
          <w:color w:val="000000"/>
        </w:rPr>
        <w:t xml:space="preserve">, инвентарь, музыкальные инструменты)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Отсутствует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</w:rPr>
        <w:t>арттерапия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библиотерапия</w:t>
      </w:r>
      <w:proofErr w:type="spellEnd"/>
      <w:r>
        <w:rPr>
          <w:color w:val="000000"/>
        </w:rPr>
        <w:t xml:space="preserve">, сенсорные технологии и т.д.):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Отсутствует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11. Новизна, актуальность, возможность повторения и масштабирования: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12. Достигнутый социальный эффект от реализации мероприятия: удовлетворение социальных, </w:t>
      </w:r>
      <w:proofErr w:type="spellStart"/>
      <w:r>
        <w:rPr>
          <w:color w:val="000000"/>
        </w:rPr>
        <w:t>психо</w:t>
      </w:r>
      <w:proofErr w:type="spellEnd"/>
      <w:r>
        <w:rPr>
          <w:color w:val="000000"/>
        </w:rPr>
        <w:t xml:space="preserve"> – эмоциональных и духовных потребностей граждан с инвалидностью; через развитие театрализованной деятельности совершается многостороннее формирование каждого ребенка, существенно облегчается его социализация и адаптация к условиям жизни в обществе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13. Отзывы в СМИ и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 (с указанием ссылок)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https://csogpvi-osinniki.kmr.socinfo.ru/news/44569508, Еженедельная муниципальная газета «Время и жизнь»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14. Объем финансирования социокультурного проекта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15. Некоммерческие организации, задействованные в социокультурном проекте </w:t>
      </w:r>
    </w:p>
    <w:p w:rsidR="005D4D70" w:rsidRDefault="005D4D70" w:rsidP="005D4D70">
      <w:pPr>
        <w:pStyle w:val="a3"/>
        <w:rPr>
          <w:color w:val="000000"/>
        </w:rPr>
      </w:pPr>
      <w:r>
        <w:rPr>
          <w:color w:val="000000"/>
        </w:rPr>
        <w:t xml:space="preserve">МКОУ «Школа-интернат №4», МБУ «Центр социального обслуживания граждан пожилого возраста и инвалидов». </w:t>
      </w:r>
    </w:p>
    <w:p w:rsidR="008657C8" w:rsidRDefault="008657C8"/>
    <w:sectPr w:rsidR="0086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0"/>
    <w:rsid w:val="005D4D70"/>
    <w:rsid w:val="008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F4E94-ECFF-487A-986F-BBDAEA3F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2019-07-25T07:56:00Z</dcterms:created>
  <dcterms:modified xsi:type="dcterms:W3CDTF">2019-07-25T07:59:00Z</dcterms:modified>
</cp:coreProperties>
</file>